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header2.xml.rels" ContentType="application/vnd.openxmlformats-package.relationships+xml"/>
  <Override PartName="/word/_rels/foot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Web"/>
        <w:shd w:val="clear" w:color="auto" w:fill="FFFFFF"/>
        <w:spacing w:lineRule="auto" w:line="240" w:beforeAutospacing="0" w:before="280" w:afterAutospacing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ind w:hanging="0" w:left="567"/>
        <w:jc w:val="center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lang w:eastAsia="pt-BR"/>
        </w:rPr>
        <w:t xml:space="preserve">MEMORIAL DESCRITIVO: </w:t>
      </w:r>
      <w:r>
        <w:rPr>
          <w:rFonts w:eastAsia="Calibri" w:cs="Arial" w:ascii="Verdana" w:hAnsi="Verdana" w:eastAsiaTheme="minorHAnsi"/>
          <w:b/>
          <w:bCs/>
          <w:color w:val="auto"/>
          <w:kern w:val="0"/>
          <w:sz w:val="20"/>
          <w:szCs w:val="20"/>
          <w:lang w:val="pt-BR" w:eastAsia="pt-BR" w:bidi="ar-SA"/>
        </w:rPr>
        <w:t xml:space="preserve">REFORMA DA PRAÇA AURÉLIO BASTIANELLO </w:t>
      </w:r>
    </w:p>
    <w:p>
      <w:pPr>
        <w:pStyle w:val="Normal"/>
        <w:shd w:val="clear" w:color="auto" w:fill="FFFFFF"/>
        <w:spacing w:lineRule="auto" w:line="240" w:before="0" w:after="0"/>
        <w:ind w:hanging="0" w:left="-794"/>
        <w:jc w:val="center"/>
        <w:rPr>
          <w:rFonts w:ascii="Verdana" w:hAnsi="Verdana" w:cs="Arial"/>
          <w:b/>
          <w:bCs/>
          <w:sz w:val="20"/>
          <w:szCs w:val="20"/>
          <w:lang w:eastAsia="pt-BR"/>
        </w:rPr>
      </w:pPr>
      <w:r>
        <w:rPr>
          <w:rFonts w:cs="Arial" w:ascii="Verdana" w:hAnsi="Verdana"/>
          <w:b/>
          <w:bCs/>
          <w:sz w:val="20"/>
          <w:szCs w:val="20"/>
          <w:lang w:eastAsia="pt-BR"/>
        </w:rPr>
      </w:r>
    </w:p>
    <w:p>
      <w:pPr>
        <w:pStyle w:val="Normal"/>
        <w:shd w:val="clear" w:color="auto" w:fill="FFFFFF"/>
        <w:spacing w:lineRule="auto" w:line="240" w:before="0" w:after="0"/>
        <w:ind w:hanging="0" w:left="-794"/>
        <w:jc w:val="center"/>
        <w:rPr>
          <w:rFonts w:ascii="Verdana" w:hAnsi="Verdana" w:cs="Arial"/>
          <w:sz w:val="20"/>
          <w:szCs w:val="20"/>
          <w:lang w:eastAsia="pt-BR"/>
        </w:rPr>
      </w:pPr>
      <w:r>
        <w:rPr>
          <w:rFonts w:cs="Arial" w:ascii="Verdana" w:hAnsi="Verdana"/>
          <w:sz w:val="20"/>
          <w:szCs w:val="20"/>
          <w:lang w:eastAsia="pt-BR"/>
        </w:rPr>
      </w:r>
    </w:p>
    <w:p>
      <w:pPr>
        <w:pStyle w:val="Normal"/>
        <w:shd w:val="clear" w:color="auto" w:fill="FFFFFF"/>
        <w:spacing w:lineRule="auto" w:line="240" w:before="0" w:after="0"/>
        <w:ind w:hanging="0" w:left="-794"/>
        <w:jc w:val="center"/>
        <w:rPr>
          <w:rFonts w:cs="Arial"/>
          <w:lang w:eastAsia="pt-BR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numPr>
          <w:ilvl w:val="0"/>
          <w:numId w:val="1"/>
        </w:numPr>
        <w:shd w:val="clear" w:color="auto" w:fill="FFFFFF"/>
        <w:spacing w:lineRule="auto" w:line="240" w:before="0" w:after="0"/>
        <w:ind w:hanging="0" w:left="-57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lang w:eastAsia="pt-BR"/>
        </w:rPr>
        <w:t>APRESENTAÇÃO</w:t>
      </w:r>
    </w:p>
    <w:p>
      <w:pPr>
        <w:pStyle w:val="Normal"/>
        <w:shd w:val="clear" w:color="auto" w:fill="FFFFFF"/>
        <w:spacing w:lineRule="auto" w:line="240" w:before="0" w:after="0"/>
        <w:ind w:firstLine="766" w:left="-57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  <w:lang w:eastAsia="pt-BR"/>
        </w:rPr>
        <w:t>O presente memorial estabelece as condições mínimas necessárias a serem observadas para a execução da Reforma</w:t>
      </w:r>
      <w:r>
        <w:rPr>
          <w:rFonts w:eastAsia="Calibri" w:cs="Arial" w:ascii="Verdana" w:hAnsi="Verdana" w:eastAsiaTheme="minorHAnsi"/>
          <w:b w:val="false"/>
          <w:bCs w:val="false"/>
          <w:color w:val="auto"/>
          <w:kern w:val="0"/>
          <w:sz w:val="20"/>
          <w:szCs w:val="20"/>
          <w:lang w:val="pt-BR" w:eastAsia="pt-BR" w:bidi="ar-SA"/>
        </w:rPr>
        <w:t xml:space="preserve"> Da Praça Aurélio Bastianello,</w:t>
      </w:r>
      <w:r>
        <w:rPr>
          <w:rFonts w:cs="Arial" w:ascii="Verdana" w:hAnsi="Verdana"/>
          <w:sz w:val="20"/>
          <w:szCs w:val="20"/>
          <w:lang w:eastAsia="pt-BR"/>
        </w:rPr>
        <w:t xml:space="preserve"> São Gabriel da Palha – ES, apontando os parâmetros mínimos a serem atendidos para materiais, serviços e equipamentos, e constituirão parte integrante dos contratos de obras e serviços.</w:t>
      </w:r>
    </w:p>
    <w:p>
      <w:pPr>
        <w:pStyle w:val="Normal"/>
        <w:shd w:val="clear" w:color="auto" w:fill="FFFFFF"/>
        <w:spacing w:lineRule="auto" w:line="240" w:before="0" w:after="0"/>
        <w:ind w:firstLine="766" w:left="-57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  <w:lang w:eastAsia="pt-BR"/>
        </w:rPr>
        <w:t>Deverão ser adotadas todas as medidas de higiene e segurança do trabalho, assim como todas recomendações previstas nas legislações referentes à saúde do trabalhador.</w:t>
      </w:r>
    </w:p>
    <w:p>
      <w:pPr>
        <w:pStyle w:val="Normal"/>
        <w:shd w:val="clear" w:color="auto" w:fill="FFFFFF"/>
        <w:spacing w:lineRule="auto" w:line="240" w:before="0" w:after="0"/>
        <w:ind w:hanging="0" w:left="-57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ab/>
        <w:tab/>
      </w:r>
    </w:p>
    <w:p>
      <w:pPr>
        <w:pStyle w:val="Normal"/>
        <w:shd w:val="clear" w:color="auto" w:fill="FFFFFF"/>
        <w:spacing w:lineRule="auto" w:line="240" w:before="0" w:after="0"/>
        <w:ind w:hanging="0" w:left="-57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lang w:eastAsia="pt-BR"/>
        </w:rPr>
        <w:t>OBJETIVOS</w:t>
      </w:r>
    </w:p>
    <w:p>
      <w:pPr>
        <w:pStyle w:val="Normal"/>
        <w:shd w:val="clear" w:color="auto" w:fill="FFFFFF"/>
        <w:spacing w:lineRule="auto" w:line="240" w:before="0" w:after="0"/>
        <w:ind w:firstLine="766" w:left="-57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  <w:lang w:eastAsia="pt-BR"/>
        </w:rPr>
        <w:t xml:space="preserve">Este memorial tem como objetivo definir serviços necessários a serem aplicados, assim como as atividades desenvolvidas, conforme Projeto de Reforma da </w:t>
      </w:r>
      <w:r>
        <w:rPr>
          <w:rFonts w:eastAsia="Calibri" w:cs="Arial" w:ascii="Verdana" w:hAnsi="Verdana" w:eastAsiaTheme="minorHAnsi"/>
          <w:b w:val="false"/>
          <w:bCs w:val="false"/>
          <w:color w:val="auto"/>
          <w:kern w:val="0"/>
          <w:sz w:val="20"/>
          <w:szCs w:val="20"/>
          <w:lang w:val="pt-BR" w:eastAsia="pt-BR" w:bidi="ar-SA"/>
        </w:rPr>
        <w:t>Praça Aurélio Bastianello</w:t>
      </w:r>
      <w:r>
        <w:rPr>
          <w:rFonts w:cs="Arial" w:ascii="Verdana" w:hAnsi="Verdana"/>
          <w:sz w:val="20"/>
          <w:szCs w:val="20"/>
          <w:lang w:eastAsia="pt-BR"/>
        </w:rPr>
        <w:t>.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  <w:lang w:eastAsia="pt-BR"/>
        </w:rPr>
        <w:tab/>
      </w:r>
    </w:p>
    <w:p>
      <w:pPr>
        <w:pStyle w:val="Normal"/>
        <w:numPr>
          <w:ilvl w:val="0"/>
          <w:numId w:val="1"/>
        </w:numPr>
        <w:shd w:val="clear" w:color="auto" w:fill="FFFFFF"/>
        <w:spacing w:lineRule="auto" w:line="240" w:before="0" w:after="0"/>
        <w:ind w:hanging="0" w:left="-57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lang w:eastAsia="pt-BR"/>
        </w:rPr>
        <w:t>EXECUÇÃO E ACOMPANHAMENTO DOS SERVIÇOS</w:t>
      </w:r>
    </w:p>
    <w:p>
      <w:pPr>
        <w:pStyle w:val="Normal"/>
        <w:shd w:val="clear" w:color="auto" w:fill="FFFFFF"/>
        <w:spacing w:lineRule="auto" w:line="240" w:before="0" w:after="0"/>
        <w:ind w:firstLine="766" w:left="-57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  <w:lang w:eastAsia="pt-BR"/>
        </w:rPr>
        <w:t>Durante a execução da obra a Contratante indicará um responsável que acompanhará os serviços, o que não diminui a responsabilidade da Contratada. Este acompanhamento será baseado nas especificações contidas no projeto, neste memorial e em atendimento as Normas Técnicas da Associação Brasileira de Normas Técnicas (ABNT).</w:t>
      </w:r>
    </w:p>
    <w:p>
      <w:pPr>
        <w:pStyle w:val="Normal"/>
        <w:shd w:val="clear" w:color="auto" w:fill="FFFFFF"/>
        <w:spacing w:lineRule="auto" w:line="240" w:before="0" w:after="0"/>
        <w:ind w:firstLine="766" w:left="-57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  <w:lang w:eastAsia="pt-BR"/>
        </w:rPr>
        <w:t>Em nenhuma hipótese deverão ocorrer alterações nos detalhes ou especificações constantes na documentação técnica pré-aprovada sem autorização por escrito da Contratante. Caso seja necessária alguma alteração, a Contratante deverá ser consultada com antecedência para que se encontre a solução e autorize as modificações. A Contratante se reserva ao direito de recusar as alterações feitas no projeto ou especificação sem sua prévia aprovação. A mão-de-obra utilizada deverá ser qualificada.</w:t>
      </w:r>
    </w:p>
    <w:p>
      <w:pPr>
        <w:pStyle w:val="Normal"/>
        <w:shd w:val="clear" w:color="auto" w:fill="FFFFFF"/>
        <w:spacing w:lineRule="auto" w:line="240" w:before="0" w:after="0"/>
        <w:ind w:firstLine="766" w:left="-57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  <w:lang w:eastAsia="pt-BR"/>
        </w:rPr>
        <w:t xml:space="preserve">Cabe a Contratada informar a Contratante acerca da existência de serviços nãos descritos neste memorial, planilha, projetos ou qualquer documento contratual, estando a execução dos mesmos sujeitos à aprovação por parte da Contratante, salvo situações que caracterizam urgência e que coloquem em risco a saúde e segurança dos trabalhadores da obra. </w:t>
      </w:r>
    </w:p>
    <w:p>
      <w:pPr>
        <w:pStyle w:val="Normal"/>
        <w:shd w:val="clear" w:color="auto" w:fill="FFFFFF"/>
        <w:spacing w:lineRule="auto" w:line="240" w:before="0" w:after="0"/>
        <w:ind w:firstLine="766" w:left="-57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  <w:lang w:eastAsia="pt-BR"/>
        </w:rPr>
        <w:t>Todas as cotas e dimensões especificadas nos projetos deverão ser conferidas “in loco”, antes da execução dos serviços.</w:t>
      </w:r>
    </w:p>
    <w:p>
      <w:pPr>
        <w:pStyle w:val="Normal"/>
        <w:shd w:val="clear" w:color="auto" w:fill="FFFFFF"/>
        <w:spacing w:lineRule="auto" w:line="240" w:before="0" w:after="0"/>
        <w:ind w:hanging="0" w:left="-57"/>
        <w:jc w:val="both"/>
        <w:rPr>
          <w:rFonts w:ascii="Verdana" w:hAnsi="Verdana" w:cs="Arial"/>
          <w:sz w:val="20"/>
          <w:szCs w:val="20"/>
          <w:lang w:eastAsia="pt-BR"/>
        </w:rPr>
      </w:pPr>
      <w:r>
        <w:rPr>
          <w:rFonts w:cs="Arial" w:ascii="Verdana" w:hAnsi="Verdana"/>
          <w:sz w:val="20"/>
          <w:szCs w:val="20"/>
          <w:lang w:eastAsia="pt-BR"/>
        </w:rPr>
      </w:r>
    </w:p>
    <w:p>
      <w:pPr>
        <w:pStyle w:val="Normal"/>
        <w:numPr>
          <w:ilvl w:val="0"/>
          <w:numId w:val="1"/>
        </w:numPr>
        <w:shd w:val="clear" w:color="auto" w:fill="FFFFFF"/>
        <w:spacing w:lineRule="auto" w:line="240" w:before="0" w:after="0"/>
        <w:ind w:hanging="0" w:left="-57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lang w:eastAsia="pt-BR"/>
        </w:rPr>
        <w:t>ESPECIFICAÇÕES DOS SERVIÇOS</w:t>
      </w:r>
    </w:p>
    <w:p>
      <w:pPr>
        <w:pStyle w:val="Normal"/>
        <w:numPr>
          <w:ilvl w:val="0"/>
          <w:numId w:val="0"/>
        </w:numPr>
        <w:shd w:val="clear" w:color="auto" w:fill="FFFFFF"/>
        <w:spacing w:lineRule="auto" w:line="240" w:before="0" w:after="0"/>
        <w:ind w:hanging="0" w:left="-57"/>
        <w:jc w:val="both"/>
        <w:rPr>
          <w:rFonts w:ascii="Verdana" w:hAnsi="Verdana" w:cs="Arial"/>
          <w:b/>
          <w:bCs/>
          <w:sz w:val="20"/>
          <w:szCs w:val="20"/>
          <w:lang w:eastAsia="pt-BR"/>
        </w:rPr>
      </w:pPr>
      <w:r>
        <w:rPr>
          <w:rFonts w:cs="Arial" w:ascii="Verdana" w:hAnsi="Verdana"/>
          <w:b/>
          <w:bCs/>
          <w:sz w:val="20"/>
          <w:szCs w:val="20"/>
          <w:lang w:eastAsia="pt-BR"/>
        </w:rPr>
      </w:r>
    </w:p>
    <w:p>
      <w:pPr>
        <w:pStyle w:val="Normal"/>
        <w:shd w:val="clear" w:color="auto" w:fill="FFFFFF"/>
        <w:spacing w:lineRule="auto" w:line="240" w:before="0" w:after="0"/>
        <w:ind w:hanging="0" w:left="-57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lang w:eastAsia="pt-BR"/>
        </w:rPr>
        <w:tab/>
        <w:tab/>
        <w:t xml:space="preserve">  1.  </w:t>
      </w:r>
      <w:r>
        <w:rPr>
          <w:rFonts w:cs="Arial" w:ascii="Verdana" w:hAnsi="Verdana"/>
          <w:b/>
          <w:bCs/>
          <w:sz w:val="20"/>
          <w:szCs w:val="20"/>
          <w:lang w:eastAsia="pt-BR"/>
        </w:rPr>
        <w:t>INSTALAÇÃO DO CANTEIRO DE OBRAS</w:t>
      </w:r>
    </w:p>
    <w:p>
      <w:pPr>
        <w:pStyle w:val="Normal"/>
        <w:shd w:val="clear" w:color="auto" w:fill="FFFFFF"/>
        <w:spacing w:lineRule="auto" w:line="240" w:before="0" w:after="0"/>
        <w:ind w:hanging="0" w:left="-57"/>
        <w:jc w:val="both"/>
        <w:rPr>
          <w:rFonts w:ascii="Verdana" w:hAnsi="Verdana"/>
          <w:sz w:val="20"/>
          <w:szCs w:val="20"/>
        </w:rPr>
      </w:pPr>
      <w:r>
        <w:rPr>
          <w:rFonts w:eastAsia="Calibri" w:cs="Arial" w:ascii="Verdana" w:hAnsi="Verdana" w:eastAsiaTheme="minorHAnsi"/>
          <w:b w:val="false"/>
          <w:bCs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0"/>
          <w:szCs w:val="20"/>
          <w:u w:val="none"/>
          <w:em w:val="none"/>
          <w:lang w:val="pt-BR" w:eastAsia="pt-BR" w:bidi="ar-SA"/>
        </w:rPr>
        <w:t xml:space="preserve">O canteiro de obras será implantado na área disponível próxima ao local da execução dos serviços, respeitando os limites do terreno, acessos públicos, legislação vigente e condições de segurança. </w:t>
      </w:r>
    </w:p>
    <w:p>
      <w:pPr>
        <w:pStyle w:val="Normal"/>
        <w:shd w:val="clear" w:color="auto" w:fill="FFFFFF"/>
        <w:spacing w:lineRule="auto" w:line="240" w:before="0" w:after="0"/>
        <w:ind w:hanging="0" w:left="-57"/>
        <w:jc w:val="both"/>
        <w:rPr>
          <w:rFonts w:ascii="Verdana" w:hAnsi="Verdana"/>
          <w:sz w:val="20"/>
          <w:szCs w:val="20"/>
        </w:rPr>
      </w:pPr>
      <w:r>
        <w:rPr>
          <w:rFonts w:eastAsia="Calibri" w:cs="Arial" w:ascii="Verdana" w:hAnsi="Verdana" w:eastAsiaTheme="minorHAnsi"/>
          <w:b w:val="false"/>
          <w:bCs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0"/>
          <w:szCs w:val="20"/>
          <w:u w:val="none"/>
          <w:em w:val="none"/>
          <w:lang w:val="pt-BR" w:eastAsia="pt-BR" w:bidi="ar-SA"/>
        </w:rPr>
        <w:t xml:space="preserve">O canteiro será alimentado por rede pública, com quadro de distribuição e proteção adequados. A água será fornecida pela rede pública. </w:t>
      </w:r>
    </w:p>
    <w:p>
      <w:pPr>
        <w:pStyle w:val="Normal"/>
        <w:shd w:val="clear" w:color="auto" w:fill="FFFFFF"/>
        <w:spacing w:lineRule="auto" w:line="240" w:before="0" w:after="0"/>
        <w:ind w:hanging="0" w:left="-57"/>
        <w:jc w:val="both"/>
        <w:rPr>
          <w:rFonts w:ascii="Verdana" w:hAnsi="Verdana"/>
          <w:sz w:val="20"/>
          <w:szCs w:val="20"/>
        </w:rPr>
      </w:pPr>
      <w:r>
        <w:rPr>
          <w:rFonts w:eastAsia="Calibri" w:cs="Arial" w:ascii="Verdana" w:hAnsi="Verdana" w:eastAsiaTheme="minorHAnsi"/>
          <w:b w:val="false"/>
          <w:bCs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0"/>
          <w:szCs w:val="20"/>
          <w:u w:val="none"/>
          <w:em w:val="none"/>
          <w:lang w:val="pt-BR" w:eastAsia="pt-BR" w:bidi="ar-SA"/>
        </w:rPr>
        <w:t xml:space="preserve">Ao término da obra, todas as instalações provisórias serão removidas, e a área será limpa e, se necessário, recomposta ao seu estado original. </w:t>
      </w:r>
    </w:p>
    <w:p>
      <w:pPr>
        <w:pStyle w:val="Normal"/>
        <w:shd w:val="clear" w:color="auto" w:fill="FFFFFF"/>
        <w:spacing w:lineRule="auto" w:line="240" w:before="0" w:after="0"/>
        <w:ind w:firstLine="777" w:left="-57"/>
        <w:jc w:val="both"/>
        <w:rPr>
          <w:rFonts w:ascii="Verdana" w:hAnsi="Verdana" w:cs="Arial"/>
          <w:sz w:val="20"/>
          <w:szCs w:val="20"/>
          <w:lang w:eastAsia="pt-BR"/>
        </w:rPr>
      </w:pPr>
      <w:r>
        <w:rPr>
          <w:rFonts w:cs="Arial" w:ascii="Verdana" w:hAnsi="Verdana"/>
          <w:sz w:val="20"/>
          <w:szCs w:val="20"/>
          <w:lang w:eastAsia="pt-BR"/>
        </w:rPr>
      </w:r>
    </w:p>
    <w:p>
      <w:pPr>
        <w:pStyle w:val="Normal"/>
        <w:numPr>
          <w:ilvl w:val="0"/>
          <w:numId w:val="2"/>
        </w:numPr>
        <w:shd w:val="clear" w:color="auto" w:fill="FFFFFF"/>
        <w:bidi w:val="0"/>
        <w:spacing w:lineRule="auto" w:line="240" w:before="0" w:after="0"/>
        <w:contextualSpacing/>
        <w:jc w:val="lef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eastAsia="pt-BR"/>
        </w:rPr>
        <w:t>SERVI</w:t>
      </w:r>
      <w:r>
        <w:rPr>
          <w:rFonts w:ascii="Verdana" w:hAnsi="Verdana"/>
          <w:b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</w:rPr>
        <w:t>ÇOS PRELIMINARES</w:t>
      </w:r>
    </w:p>
    <w:p>
      <w:pPr>
        <w:pStyle w:val="Normal"/>
        <w:shd w:val="clear" w:color="auto" w:fill="FFFFFF"/>
        <w:bidi w:val="0"/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Calibri" w:cs="Arial" w:ascii="Verdana" w:hAnsi="Verdana" w:eastAsiaTheme="minorHAnsi"/>
          <w:b w:val="false"/>
          <w:bCs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0"/>
          <w:szCs w:val="20"/>
          <w:u w:val="none"/>
          <w:em w:val="none"/>
          <w:lang w:val="pt-BR" w:eastAsia="pt-BR" w:bidi="ar-SA"/>
        </w:rPr>
        <w:t xml:space="preserve">Os serviços preliminares compreendem todas as ações iniciais necessárias para a preparação do local da obra, incluindo a demolição e remoção de elementos construtivos existentes, como alvenarias, revestimentos, pisos, forros, esquadrias e instalações em desuso, bem como o lixamento de paredes para regularização e adequação das superfícies ao novo acabamento. Também fazem parte desses serviços a retirada e o transporte dos entulhos gerados para local adequado, a proteção das áreas e elementos que serão preservados, e a limpeza geral da área para garantir condições apropriadas para a execução das etapas subsequentes da obra, tudo em conformidade com as normas técnicas e de segurança vigentes. </w:t>
      </w:r>
    </w:p>
    <w:p>
      <w:pPr>
        <w:pStyle w:val="Normal"/>
        <w:shd w:val="clear" w:color="auto" w:fill="FFFFFF"/>
        <w:bidi w:val="0"/>
        <w:spacing w:lineRule="auto" w:line="240" w:before="0" w:after="0"/>
        <w:contextualSpacing/>
        <w:jc w:val="both"/>
        <w:rPr>
          <w:rFonts w:ascii="Verdana" w:hAnsi="Verdana" w:eastAsia="Calibri" w:eastAsiaTheme="minorHAnsi"/>
          <w:b w:val="false"/>
          <w:bCs w:val="false"/>
          <w:i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0"/>
          <w:szCs w:val="20"/>
          <w:u w:val="none"/>
          <w:em w:val="none"/>
          <w:lang w:val="pt-BR" w:bidi="ar-SA"/>
        </w:rPr>
      </w:pPr>
      <w:r>
        <w:rPr>
          <w:rFonts w:eastAsia="Calibri" w:eastAsiaTheme="minorHAnsi" w:ascii="Verdana" w:hAnsi="Verdana"/>
          <w:b w:val="false"/>
          <w:bCs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0"/>
          <w:szCs w:val="20"/>
          <w:u w:val="none"/>
          <w:em w:val="none"/>
          <w:lang w:val="pt-BR" w:bidi="ar-SA"/>
        </w:rPr>
      </w:r>
    </w:p>
    <w:p>
      <w:pPr>
        <w:pStyle w:val="Normal"/>
        <w:numPr>
          <w:ilvl w:val="0"/>
          <w:numId w:val="2"/>
        </w:numPr>
        <w:shd w:val="clear" w:color="auto" w:fill="FFFFFF"/>
        <w:bidi w:val="0"/>
        <w:spacing w:lineRule="auto" w:line="240" w:before="0" w:after="0"/>
        <w:ind w:firstLine="777" w:left="-57"/>
        <w:contextualSpacing/>
        <w:jc w:val="left"/>
        <w:rPr>
          <w:rFonts w:ascii="Verdana" w:hAnsi="Verdana"/>
          <w:sz w:val="20"/>
          <w:szCs w:val="20"/>
        </w:rPr>
      </w:pPr>
      <w:r>
        <w:rPr>
          <w:rFonts w:eastAsia="Calibri" w:cs="Arial" w:ascii="Verdana" w:hAnsi="Verdana"/>
          <w:b/>
          <w:i w:val="false"/>
          <w:strike w:val="false"/>
          <w:dstrike w:val="false"/>
          <w:outline w:val="false"/>
          <w:shadow w:val="false"/>
          <w:color w:val="000000"/>
          <w:kern w:val="0"/>
          <w:sz w:val="20"/>
          <w:szCs w:val="20"/>
          <w:u w:val="none"/>
          <w:em w:val="none"/>
          <w:lang w:val="pt-BR" w:eastAsia="pt-BR" w:bidi="ar-SA"/>
        </w:rPr>
        <w:t>MOVIMENTA</w:t>
      </w:r>
      <w:r>
        <w:rPr>
          <w:rFonts w:eastAsia="Calibri" w:ascii="Verdana" w:hAnsi="Verdana"/>
          <w:b/>
          <w:i w:val="false"/>
          <w:strike w:val="false"/>
          <w:dstrike w:val="false"/>
          <w:outline w:val="false"/>
          <w:shadow w:val="false"/>
          <w:color w:val="000000"/>
          <w:kern w:val="0"/>
          <w:sz w:val="20"/>
          <w:szCs w:val="20"/>
          <w:u w:val="none"/>
          <w:em w:val="none"/>
          <w:lang w:val="pt-BR" w:bidi="ar-SA"/>
        </w:rPr>
        <w:t>ÇÕES DE TERRA</w:t>
      </w:r>
    </w:p>
    <w:p>
      <w:pPr>
        <w:pStyle w:val="Normal"/>
        <w:numPr>
          <w:ilvl w:val="0"/>
          <w:numId w:val="0"/>
        </w:numPr>
        <w:shd w:val="clear" w:color="auto" w:fill="FFFFFF"/>
        <w:spacing w:lineRule="auto" w:line="240" w:before="0" w:after="0"/>
        <w:ind w:hanging="0" w:left="-57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Calibri" w:cs="Arial" w:ascii="Verdana" w:hAnsi="Verdana" w:eastAsiaTheme="minorHAnsi"/>
          <w:b w:val="false"/>
          <w:bCs w:val="false"/>
          <w:color w:val="auto"/>
          <w:kern w:val="0"/>
          <w:sz w:val="20"/>
          <w:szCs w:val="20"/>
          <w:lang w:val="pt-BR" w:eastAsia="pt-BR" w:bidi="ar-SA"/>
        </w:rPr>
        <w:t>Os serviços de movimentação de terra consistem na execução de atividades preliminares de escavação, carga, transporte, espalhamento, compactação e/ou reaterro de solos, com o objetivo de adequar o terreno às cotas e condições exigidas pelo projeto. Estes serviços podem incluir cortes e aterros em solo natural, regularização e nivelamento da área, bem como a compactação em camadas conforme especificações técnicas. Todo o material excedente será transportado para bota-fora autorizado, enquanto, quando</w:t>
      </w:r>
      <w:r>
        <w:rPr>
          <w:rFonts w:cs="Arial" w:ascii="Verdana" w:hAnsi="Verdana"/>
          <w:b w:val="false"/>
          <w:bCs w:val="false"/>
          <w:sz w:val="20"/>
          <w:szCs w:val="20"/>
          <w:lang w:eastAsia="pt-BR"/>
        </w:rPr>
        <w:t xml:space="preserve"> possível, o material proveniente das escavações será reaproveitado. As operações serão realizadas com equipamentos manuais ou mecanizados, observando as condições locais, normas ambientais e de segurança do trabalho vigentes</w:t>
      </w:r>
      <w:r>
        <w:rPr>
          <w:rFonts w:cs="Arial" w:ascii="Verdana" w:hAnsi="Verdana"/>
          <w:b/>
          <w:sz w:val="20"/>
          <w:szCs w:val="20"/>
          <w:lang w:eastAsia="pt-BR"/>
        </w:rPr>
        <w:t xml:space="preserve">. </w:t>
      </w:r>
    </w:p>
    <w:p>
      <w:pPr>
        <w:pStyle w:val="Normal"/>
        <w:shd w:val="clear" w:color="auto" w:fill="FFFFFF"/>
        <w:spacing w:lineRule="auto" w:line="240" w:before="0" w:after="0"/>
        <w:ind w:hanging="0"/>
        <w:contextualSpacing/>
        <w:jc w:val="both"/>
        <w:rPr>
          <w:rFonts w:ascii="Verdana" w:hAnsi="Verdana" w:cs="Arial"/>
          <w:sz w:val="20"/>
          <w:szCs w:val="20"/>
          <w:lang w:eastAsia="pt-BR"/>
        </w:rPr>
      </w:pPr>
      <w:r>
        <w:rPr>
          <w:rFonts w:cs="Arial" w:ascii="Verdana" w:hAnsi="Verdana"/>
          <w:sz w:val="20"/>
          <w:szCs w:val="20"/>
          <w:lang w:eastAsia="pt-BR"/>
        </w:rPr>
      </w:r>
    </w:p>
    <w:p>
      <w:pPr>
        <w:pStyle w:val="Normal"/>
        <w:numPr>
          <w:ilvl w:val="0"/>
          <w:numId w:val="2"/>
        </w:numPr>
        <w:shd w:val="clear" w:color="auto" w:fill="FFFFFF"/>
        <w:bidi w:val="0"/>
        <w:spacing w:lineRule="auto" w:line="240" w:before="0" w:after="0"/>
        <w:ind w:firstLine="777" w:left="-57"/>
        <w:contextualSpacing/>
        <w:jc w:val="left"/>
        <w:rPr>
          <w:rFonts w:ascii="Verdana" w:hAnsi="Verdana"/>
          <w:sz w:val="20"/>
          <w:szCs w:val="20"/>
        </w:rPr>
      </w:pPr>
      <w:r>
        <w:rPr>
          <w:rFonts w:eastAsia="Calibri" w:cs="" w:ascii="Verdana" w:hAnsi="Verdana"/>
          <w:b/>
          <w:i w:val="false"/>
          <w:strike w:val="false"/>
          <w:dstrike w:val="false"/>
          <w:outline w:val="false"/>
          <w:shadow w:val="false"/>
          <w:color w:val="000000"/>
          <w:kern w:val="0"/>
          <w:sz w:val="20"/>
          <w:szCs w:val="20"/>
          <w:u w:val="none"/>
          <w:em w:val="none"/>
          <w:lang w:val="pt-BR" w:eastAsia="en-US" w:bidi="ar-SA"/>
        </w:rPr>
        <w:t>ESTRUTURA</w:t>
      </w:r>
    </w:p>
    <w:p>
      <w:pPr>
        <w:pStyle w:val="Normal"/>
        <w:numPr>
          <w:ilvl w:val="0"/>
          <w:numId w:val="0"/>
        </w:numPr>
        <w:shd w:val="clear" w:color="auto" w:fill="FFFFFF"/>
        <w:spacing w:lineRule="auto" w:line="240" w:before="0" w:after="0"/>
        <w:ind w:hanging="0" w:left="-57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Calibri" w:cs="Arial" w:ascii="Verdana" w:hAnsi="Verdana" w:eastAsiaTheme="minorHAnsi"/>
          <w:color w:val="auto"/>
          <w:kern w:val="0"/>
          <w:sz w:val="20"/>
          <w:szCs w:val="20"/>
          <w:lang w:val="pt-BR" w:eastAsia="pt-BR" w:bidi="ar-SA"/>
        </w:rPr>
        <w:t xml:space="preserve">Os serviços estruturais compreendem a execução de todos os elementos que compõem a estrutura da edificação, incluindo a preparação, montagem e fixação de formas, armação com barras de aço, lançamento e adensamento do concreto, além da execução de lastros de regularização quando necessário. Incluem-se também as alvenarias estruturais, que serão executadas conforme projeto, com blocos específicos, seguindo critérios de prumo, nível e amarração. Para o acabamento e preparação das superfícies, serão aplicados chapisco e reboco nas faces necessárias, garantindo aderência e regularização para os revestimentos posteriores. Todos os serviços seguirão os projetos executivos, especificações técnicas e normas vigentes, com controle de qualidade e segurança durante toda a execução. </w:t>
      </w:r>
    </w:p>
    <w:p>
      <w:pPr>
        <w:pStyle w:val="ListParagraph"/>
        <w:numPr>
          <w:ilvl w:val="0"/>
          <w:numId w:val="0"/>
        </w:numPr>
        <w:shd w:val="clear" w:color="auto" w:fill="FFFFFF"/>
        <w:spacing w:lineRule="auto" w:line="240" w:before="0" w:after="0"/>
        <w:ind w:hanging="0" w:left="-57"/>
        <w:contextualSpacing/>
        <w:jc w:val="both"/>
        <w:rPr>
          <w:rFonts w:ascii="Verdana" w:hAnsi="Verdana" w:cs="Arial"/>
          <w:b/>
          <w:sz w:val="20"/>
          <w:szCs w:val="20"/>
          <w:lang w:eastAsia="pt-BR"/>
        </w:rPr>
      </w:pPr>
      <w:r>
        <w:rPr>
          <w:rFonts w:cs="Arial" w:ascii="Verdana" w:hAnsi="Verdana"/>
          <w:b/>
          <w:sz w:val="20"/>
          <w:szCs w:val="20"/>
          <w:lang w:eastAsia="pt-BR"/>
        </w:rPr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lang w:eastAsia="pt-BR"/>
        </w:rPr>
        <w:tab/>
        <w:tab/>
        <w:t>5. IMPERMEABILIZAÇÕES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Calibri" w:cs="Arial" w:ascii="Verdana" w:hAnsi="Verdana" w:eastAsiaTheme="minorHAnsi"/>
          <w:b w:val="false"/>
          <w:bCs w:val="false"/>
          <w:color w:val="auto"/>
          <w:kern w:val="0"/>
          <w:sz w:val="20"/>
          <w:szCs w:val="20"/>
          <w:lang w:val="pt-BR" w:eastAsia="pt-BR" w:bidi="ar-SA"/>
        </w:rPr>
        <w:t>Serviço de impermeabilização onde necessário para não ocorrer umidade.</w:t>
      </w:r>
    </w:p>
    <w:p>
      <w:pPr>
        <w:pStyle w:val="Normal"/>
        <w:shd w:val="clear" w:color="auto" w:fill="FFFFFF"/>
        <w:spacing w:lineRule="auto" w:line="240" w:before="0" w:after="0"/>
        <w:ind w:hanging="0"/>
        <w:jc w:val="both"/>
        <w:rPr>
          <w:rFonts w:ascii="Verdana" w:hAnsi="Verdana" w:cs="Arial"/>
          <w:b/>
          <w:sz w:val="20"/>
          <w:szCs w:val="20"/>
          <w:lang w:eastAsia="pt-BR"/>
        </w:rPr>
      </w:pPr>
      <w:r>
        <w:rPr>
          <w:rFonts w:cs="Arial" w:ascii="Verdana" w:hAnsi="Verdana"/>
          <w:b/>
          <w:sz w:val="20"/>
          <w:szCs w:val="20"/>
          <w:lang w:eastAsia="pt-BR"/>
        </w:rPr>
      </w:r>
    </w:p>
    <w:p>
      <w:pPr>
        <w:pStyle w:val="Normal"/>
        <w:shd w:val="clear" w:color="auto" w:fill="FFFFFF"/>
        <w:bidi w:val="0"/>
        <w:spacing w:lineRule="auto" w:line="240" w:before="0" w:after="0"/>
        <w:ind w:hanging="0" w:left="-57"/>
        <w:jc w:val="both"/>
        <w:rPr>
          <w:rFonts w:ascii="Verdana" w:hAnsi="Verdana"/>
          <w:sz w:val="20"/>
          <w:szCs w:val="20"/>
        </w:rPr>
      </w:pPr>
      <w:r>
        <w:rPr>
          <w:rFonts w:eastAsia="Calibri" w:cs="Arial" w:ascii="Verdana" w:hAnsi="Verdana" w:eastAsiaTheme="minorHAnsi"/>
          <w:b/>
          <w:i w:val="false"/>
          <w:strike w:val="false"/>
          <w:dstrike w:val="false"/>
          <w:outline w:val="false"/>
          <w:shadow w:val="false"/>
          <w:color w:val="auto"/>
          <w:kern w:val="0"/>
          <w:sz w:val="20"/>
          <w:szCs w:val="20"/>
          <w:u w:val="none"/>
          <w:em w:val="none"/>
          <w:lang w:val="pt-BR" w:eastAsia="pt-BR" w:bidi="ar-SA"/>
        </w:rPr>
        <w:tab/>
        <w:tab/>
        <w:tab/>
        <w:t>6. SERVIÇOS COMPLEMENTARES EXTERNOS</w:t>
      </w:r>
    </w:p>
    <w:p>
      <w:pPr>
        <w:pStyle w:val="Normal"/>
        <w:shd w:val="clear" w:color="auto" w:fill="FFFFFF"/>
        <w:bidi w:val="0"/>
        <w:spacing w:lineRule="auto" w:line="240" w:before="0" w:after="0"/>
        <w:ind w:hanging="0" w:left="-57"/>
        <w:jc w:val="both"/>
        <w:rPr>
          <w:rFonts w:ascii="Verdana" w:hAnsi="Verdana"/>
          <w:sz w:val="20"/>
          <w:szCs w:val="20"/>
        </w:rPr>
      </w:pPr>
      <w:r>
        <w:rPr>
          <w:rFonts w:eastAsia="Calibri" w:cs="Arial" w:ascii="Verdana" w:hAnsi="Verdana" w:eastAsiaTheme="minorHAnsi"/>
          <w:b w:val="false"/>
          <w:bCs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0"/>
          <w:szCs w:val="20"/>
          <w:u w:val="none"/>
          <w:em w:val="none"/>
          <w:lang w:val="pt-BR" w:eastAsia="pt-BR" w:bidi="ar-SA"/>
        </w:rPr>
        <w:t xml:space="preserve">Os serviços complementares externos abrangem a execução de elementos urbanísticos e de infraestrutura que visam à funcionalidade, acessibilidade e integração estética do entorno da edificação. Estão incluídos a implantação de bancos e mesas em concreto moldado no local ou pré-fabricado, a execução de pavimentação em piso intertravado, com preparação e compactação de subleito e base conforme projeto. Serão instalados meios-fios de concreto para contenção e delimitação das áreas pavimentadas, além da execução de calçada cidadã, atendendo às normas de acessibilidade e sinalização tátil. O paisagismo contemplará o plantio de espécies vegetais adequadas ao clima local, implantação de canteiros e cobertura vegetal. Também fazem parte as obras de drenagem pluvial, com instalação de canaletas, bocas de lobo e tubos, garantindo o escoamento adequado das águas superficiais. Todos os serviços serão executados de acordo com os projetos específicos, respeitando as normas técnicas, ambientais e de acessibilidade vigentes. </w:t>
      </w:r>
    </w:p>
    <w:p>
      <w:pPr>
        <w:pStyle w:val="Normal"/>
        <w:shd w:val="clear" w:color="auto" w:fill="FFFFFF"/>
        <w:bidi w:val="0"/>
        <w:spacing w:lineRule="auto" w:line="240" w:before="0" w:after="0"/>
        <w:ind w:hanging="0" w:left="-57"/>
        <w:jc w:val="both"/>
        <w:rPr>
          <w:rFonts w:ascii="Verdana" w:hAnsi="Verdana" w:cs="Arial"/>
          <w:b/>
          <w:sz w:val="20"/>
          <w:szCs w:val="20"/>
          <w:lang w:eastAsia="pt-BR"/>
        </w:rPr>
      </w:pPr>
      <w:r>
        <w:rPr>
          <w:rFonts w:cs="Arial" w:ascii="Verdana" w:hAnsi="Verdana"/>
          <w:b/>
          <w:sz w:val="20"/>
          <w:szCs w:val="20"/>
          <w:lang w:eastAsia="pt-BR"/>
        </w:rPr>
      </w:r>
    </w:p>
    <w:p>
      <w:pPr>
        <w:pStyle w:val="Normal"/>
        <w:shd w:val="clear" w:color="auto" w:fill="FFFFFF"/>
        <w:bidi w:val="0"/>
        <w:spacing w:lineRule="auto" w:line="240" w:before="0" w:after="0"/>
        <w:ind w:hanging="0" w:left="-57"/>
        <w:jc w:val="both"/>
        <w:rPr>
          <w:rFonts w:ascii="Verdana" w:hAnsi="Verdana"/>
          <w:sz w:val="20"/>
          <w:szCs w:val="20"/>
        </w:rPr>
      </w:pPr>
      <w:r>
        <w:rPr>
          <w:rFonts w:eastAsia="Calibri" w:cs="Arial" w:ascii="Verdana" w:hAnsi="Verdana" w:eastAsiaTheme="minorHAnsi"/>
          <w:b/>
          <w:i w:val="false"/>
          <w:strike w:val="false"/>
          <w:dstrike w:val="false"/>
          <w:outline w:val="false"/>
          <w:shadow w:val="false"/>
          <w:color w:val="auto"/>
          <w:kern w:val="0"/>
          <w:sz w:val="20"/>
          <w:szCs w:val="20"/>
          <w:u w:val="none"/>
          <w:em w:val="none"/>
          <w:lang w:val="pt-BR" w:eastAsia="pt-BR" w:bidi="ar-SA"/>
        </w:rPr>
        <w:tab/>
        <w:tab/>
        <w:tab/>
        <w:t>7. INSTALAÇÕES ELÉTRICAS</w:t>
      </w:r>
    </w:p>
    <w:p>
      <w:pPr>
        <w:pStyle w:val="Normal"/>
        <w:shd w:val="clear" w:color="auto" w:fill="FFFFFF"/>
        <w:spacing w:lineRule="auto" w:line="240" w:before="0" w:after="0"/>
        <w:ind w:hanging="0" w:left="-57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lang w:eastAsia="pt-BR"/>
        </w:rPr>
        <w:t xml:space="preserve">Os serviços de instalações elétricas compreendem o fornecimento e a execução de toda a infraestrutura e componentes necessários para o perfeito funcionamento do sistema elétrico da edificação, abrangendo a distribuição de energia em baixa tensão, conforme o projeto executivo e as normas técnicas vigentes. Incluem-se a instalação de eletrodutos embutidos ou aparentes, quadros de distribuição, cabos e condutores, dispositivos de proteção (disjuntores, DRs), tomadas, interruptores, luminárias e demais equipamentos. As instalações serão organizadas por circuitos independentes, dimensionadas conforme a carga prevista, e executadas com materiais devidamente certificados. Serão realizados os testes de continuidade, isolamento e funcionamento ao final da instalação, garantindo segurança, eficiência e conformidade com as normas da ABNT e concessionária local. </w:t>
      </w:r>
    </w:p>
    <w:p>
      <w:pPr>
        <w:pStyle w:val="Normal"/>
        <w:shd w:val="clear" w:color="auto" w:fill="FFFFFF"/>
        <w:spacing w:lineRule="auto" w:line="240" w:before="0" w:after="0"/>
        <w:ind w:hanging="0" w:left="-57"/>
        <w:jc w:val="both"/>
        <w:rPr>
          <w:rFonts w:ascii="Verdana" w:hAnsi="Verdana" w:cs="Arial"/>
          <w:sz w:val="20"/>
          <w:szCs w:val="20"/>
          <w:lang w:eastAsia="pt-BR"/>
        </w:rPr>
      </w:pPr>
      <w:r>
        <w:rPr>
          <w:rFonts w:cs="Arial" w:ascii="Verdana" w:hAnsi="Verdana"/>
          <w:sz w:val="20"/>
          <w:szCs w:val="20"/>
          <w:lang w:eastAsia="pt-BR"/>
        </w:rPr>
      </w:r>
    </w:p>
    <w:p>
      <w:pPr>
        <w:pStyle w:val="Normal"/>
        <w:shd w:val="clear" w:color="auto" w:fill="FFFFFF"/>
        <w:bidi w:val="0"/>
        <w:spacing w:lineRule="auto" w:line="240" w:before="0" w:after="0"/>
        <w:ind w:hanging="0" w:left="-57"/>
        <w:jc w:val="both"/>
        <w:rPr>
          <w:rFonts w:ascii="Verdana" w:hAnsi="Verdana"/>
          <w:sz w:val="20"/>
          <w:szCs w:val="20"/>
        </w:rPr>
      </w:pPr>
      <w:r>
        <w:rPr>
          <w:rFonts w:eastAsia="Calibri" w:cs="Arial" w:ascii="Verdana" w:hAnsi="Verdana" w:eastAsiaTheme="minorHAnsi"/>
          <w:b/>
          <w:bCs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0"/>
          <w:szCs w:val="20"/>
          <w:u w:val="none"/>
          <w:em w:val="none"/>
          <w:lang w:val="pt-BR" w:eastAsia="pt-BR" w:bidi="ar-SA"/>
        </w:rPr>
        <w:tab/>
        <w:tab/>
        <w:tab/>
        <w:t xml:space="preserve">8. </w:t>
      </w:r>
      <w:r>
        <w:rPr>
          <w:rFonts w:eastAsia="Calibri" w:cs="Arial" w:ascii="Verdana" w:hAnsi="Verdana" w:eastAsiaTheme="minorHAnsi"/>
          <w:b/>
          <w:i w:val="false"/>
          <w:strike w:val="false"/>
          <w:dstrike w:val="false"/>
          <w:outline w:val="false"/>
          <w:shadow w:val="false"/>
          <w:color w:val="auto"/>
          <w:kern w:val="0"/>
          <w:sz w:val="20"/>
          <w:szCs w:val="20"/>
          <w:u w:val="none"/>
          <w:em w:val="none"/>
          <w:lang w:val="pt-BR" w:eastAsia="pt-BR" w:bidi="ar-SA"/>
        </w:rPr>
        <w:t>PINTURA</w:t>
      </w:r>
    </w:p>
    <w:p>
      <w:pPr>
        <w:pStyle w:val="Normal"/>
        <w:shd w:val="clear" w:color="auto" w:fill="FFFFFF"/>
        <w:bidi w:val="0"/>
        <w:spacing w:lineRule="auto" w:line="240" w:before="0" w:after="0"/>
        <w:ind w:hanging="0" w:left="-57"/>
        <w:jc w:val="both"/>
        <w:rPr>
          <w:rFonts w:ascii="Verdana" w:hAnsi="Verdana"/>
          <w:sz w:val="20"/>
          <w:szCs w:val="20"/>
        </w:rPr>
      </w:pPr>
      <w:r>
        <w:rPr>
          <w:rFonts w:eastAsia="Calibri" w:cs="Arial" w:ascii="Verdana" w:hAnsi="Verdana" w:eastAsiaTheme="minorHAnsi"/>
          <w:b w:val="false"/>
          <w:bCs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0"/>
          <w:szCs w:val="20"/>
          <w:u w:val="none"/>
          <w:em w:val="none"/>
          <w:lang w:val="pt-BR" w:eastAsia="pt-BR" w:bidi="ar-SA"/>
        </w:rPr>
        <w:t xml:space="preserve">Os serviços de pintura compreendem o preparo e acabamento de superfícies internas e externas, visando proteção e estética das áreas da edificação. Incluem-se etapas como lixamento, correção de imperfeições com massas apropriadas, aplicação de seladores ou fundos preparadores, e posterior aplicação de tinta em número de demãos suficiente para garantir cobertura e uniformidade. As tintas a serem utilizadas serão adequadas a cada tipo de superfície (alvenaria, concreto, madeira ou metal) e ambiente (interno ou externo), obedecendo às especificações do projeto e às normas técnicas. A execução será feita com rolos, pincéis ou equipamentos de pintura, garantindo acabamento limpo, sem manchas, escorrimentos ou falhas, com atenção especial à proteção de áreas adjacentes e à limpeza final do ambiente. </w:t>
      </w:r>
    </w:p>
    <w:p>
      <w:pPr>
        <w:pStyle w:val="Normal"/>
        <w:shd w:val="clear" w:color="auto" w:fill="FFFFFF"/>
        <w:bidi w:val="0"/>
        <w:spacing w:lineRule="auto" w:line="240" w:before="0" w:after="0"/>
        <w:ind w:hanging="0" w:left="-57"/>
        <w:jc w:val="both"/>
        <w:rPr>
          <w:rFonts w:ascii="Verdana" w:hAnsi="Verdana" w:eastAsia="Calibri" w:cs="Arial" w:eastAsiaTheme="minorHAnsi"/>
          <w:i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0"/>
          <w:szCs w:val="20"/>
          <w:u w:val="none"/>
          <w:em w:val="none"/>
          <w:lang w:val="pt-BR" w:eastAsia="pt-BR" w:bidi="ar-SA"/>
        </w:rPr>
      </w:pPr>
      <w:r>
        <w:rPr>
          <w:rFonts w:eastAsia="Calibri" w:cs="Arial" w:eastAsiaTheme="minorHAnsi" w:ascii="Verdana" w:hAnsi="Verdana"/>
          <w:i w:val="false"/>
          <w:strike w:val="false"/>
          <w:dstrike w:val="false"/>
          <w:outline w:val="false"/>
          <w:shadow w:val="false"/>
          <w:color w:val="auto"/>
          <w:kern w:val="0"/>
          <w:sz w:val="20"/>
          <w:szCs w:val="20"/>
          <w:u w:val="none"/>
          <w:em w:val="none"/>
          <w:lang w:val="pt-BR" w:eastAsia="pt-BR" w:bidi="ar-SA"/>
        </w:rPr>
      </w:r>
    </w:p>
    <w:p>
      <w:pPr>
        <w:pStyle w:val="Normal"/>
        <w:shd w:val="clear" w:color="auto" w:fill="FFFFFF"/>
        <w:bidi w:val="0"/>
        <w:spacing w:lineRule="auto" w:line="240" w:before="0" w:after="0"/>
        <w:ind w:hanging="0" w:left="-57"/>
        <w:jc w:val="both"/>
        <w:rPr>
          <w:rFonts w:ascii="Verdana" w:hAnsi="Verdana"/>
          <w:sz w:val="20"/>
          <w:szCs w:val="20"/>
        </w:rPr>
      </w:pPr>
      <w:r>
        <w:rPr>
          <w:rFonts w:eastAsia="Calibri" w:cs="Arial" w:ascii="Verdana" w:hAnsi="Verdana" w:eastAsiaTheme="minorHAnsi"/>
          <w:b/>
          <w:bCs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0"/>
          <w:szCs w:val="20"/>
          <w:u w:val="none"/>
          <w:em w:val="none"/>
          <w:lang w:val="pt-BR" w:eastAsia="pt-BR" w:bidi="ar-SA"/>
        </w:rPr>
        <w:tab/>
        <w:tab/>
        <w:tab/>
        <w:t>9. OUTROS</w:t>
      </w:r>
    </w:p>
    <w:p>
      <w:pPr>
        <w:pStyle w:val="Normal"/>
        <w:shd w:val="clear" w:color="auto" w:fill="FFFFFF"/>
        <w:bidi w:val="0"/>
        <w:spacing w:lineRule="auto" w:line="240" w:before="0" w:after="0"/>
        <w:ind w:hanging="0"/>
        <w:jc w:val="both"/>
        <w:rPr>
          <w:rFonts w:ascii="Verdana" w:hAnsi="Verdana"/>
          <w:sz w:val="20"/>
          <w:szCs w:val="20"/>
        </w:rPr>
      </w:pPr>
      <w:r>
        <w:rPr>
          <w:rFonts w:eastAsia="Calibri" w:cs="Arial" w:ascii="Verdana" w:hAnsi="Verdana" w:eastAsiaTheme="minorHAnsi"/>
          <w:b w:val="false"/>
          <w:bCs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0"/>
          <w:szCs w:val="20"/>
          <w:u w:val="none"/>
          <w:em w:val="none"/>
          <w:lang w:val="pt-BR" w:eastAsia="pt-BR" w:bidi="ar-SA"/>
        </w:rPr>
        <w:t>Os serviços de limpeza geral da obra e administração local compreendem as atividades de organização, supervisão e manutenção das condições adequadas de higiene e funcionamento do canteiro durante toda a execução da obra. A limpeza envolve a remoção contínua de resíduos, sobras de materiais, poeira, entulho e embalagens, mantendo as frentes de trabalho limpas e seguras, com destinação adequada dos resíduos conforme as normas ambientais. Já a administração local inclui o controle de entrada e saída de materiais, acompanhamento de cronogramas, fiscalização da qualidade dos serviços, organização de documentos técnicos e administrativos, além do apoio logístico à equipe de obra. Estes serviços são fundamentais para garantir o bom andamento da construção, cumprimento dos prazos, segurança no canteiro e conformidade com os requisitos técnicos e legais.</w:t>
      </w:r>
      <w:r>
        <w:rPr>
          <w:rFonts w:ascii="Verdana" w:hAnsi="Verdana"/>
          <w:b w:val="false"/>
          <w:bCs w:val="false"/>
          <w:sz w:val="20"/>
          <w:szCs w:val="20"/>
        </w:rPr>
        <w:t xml:space="preserve"> </w:t>
      </w:r>
    </w:p>
    <w:p>
      <w:pPr>
        <w:pStyle w:val="Normal"/>
        <w:shd w:val="clear" w:color="auto" w:fill="FFFFFF"/>
        <w:bidi w:val="0"/>
        <w:spacing w:lineRule="auto" w:line="240" w:before="0" w:after="0"/>
        <w:ind w:hanging="0" w:left="-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hd w:val="clear" w:color="auto" w:fill="FFFFFF"/>
        <w:spacing w:lineRule="auto" w:line="240" w:before="0" w:after="0"/>
        <w:ind w:hanging="0" w:left="-57"/>
        <w:jc w:val="both"/>
        <w:rPr>
          <w:rFonts w:ascii="Verdana" w:hAnsi="Verdana" w:cs="Arial"/>
          <w:b/>
          <w:bCs/>
          <w:sz w:val="20"/>
          <w:szCs w:val="20"/>
          <w:lang w:eastAsia="pt-BR"/>
        </w:rPr>
      </w:pPr>
      <w:r>
        <w:rPr>
          <w:rFonts w:cs="Arial" w:ascii="Verdana" w:hAnsi="Verdana"/>
          <w:b/>
          <w:bCs/>
          <w:sz w:val="20"/>
          <w:szCs w:val="20"/>
          <w:lang w:eastAsia="pt-BR"/>
        </w:rPr>
      </w:r>
    </w:p>
    <w:p>
      <w:pPr>
        <w:pStyle w:val="Normal"/>
        <w:numPr>
          <w:ilvl w:val="0"/>
          <w:numId w:val="0"/>
        </w:numPr>
        <w:shd w:val="clear" w:color="auto" w:fill="FFFFFF"/>
        <w:spacing w:lineRule="auto" w:line="240" w:before="0" w:after="0"/>
        <w:ind w:hanging="0" w:left="-57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lang w:eastAsia="pt-BR"/>
        </w:rPr>
        <w:t>5. CONSIDERAÇÕES FINAIS</w:t>
      </w:r>
    </w:p>
    <w:p>
      <w:pPr>
        <w:pStyle w:val="Normal"/>
        <w:numPr>
          <w:ilvl w:val="0"/>
          <w:numId w:val="0"/>
        </w:numPr>
        <w:shd w:val="clear" w:color="auto" w:fill="FFFFFF"/>
        <w:spacing w:lineRule="auto" w:line="240" w:before="0" w:after="0"/>
        <w:ind w:hanging="0" w:left="-57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lang w:eastAsia="pt-BR"/>
        </w:rPr>
        <w:tab/>
      </w:r>
    </w:p>
    <w:p>
      <w:pPr>
        <w:pStyle w:val="Normal"/>
        <w:shd w:val="clear" w:color="auto" w:fill="FFFFFF"/>
        <w:spacing w:lineRule="auto" w:line="240" w:before="0" w:after="0"/>
        <w:ind w:firstLine="766" w:left="-57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  <w:lang w:eastAsia="pt-BR"/>
        </w:rPr>
        <w:t>A obra somente será recebida com todas as condições de projeto, fornecimento dos materiais e execução dos serviços prescritos forem atendidos. Todo entulho e sobras de materiais deverão ser retirados. Cuidados especiais deverão ser tomados quanto ao acabamento da superfície pavimentada, onde houver poços de visita (ou elementos semelhantes) deverá ser verificado o perfeito nivelamento entre a tampa da caixa e a superfície pavimentada (blocos de concreto). A fiscalização fará a vistoria de recebimento da obra, e ficará a critério da Prefeitura definir as conformidades para o recebimento e aceitação da obra, podendo solicitar a correção de possíveis não conformidades.</w:t>
      </w:r>
    </w:p>
    <w:p>
      <w:pPr>
        <w:pStyle w:val="Normal"/>
        <w:shd w:val="clear" w:color="auto" w:fill="FFFFFF"/>
        <w:spacing w:lineRule="auto" w:line="240" w:before="0" w:after="0"/>
        <w:ind w:hanging="0" w:left="-57"/>
        <w:jc w:val="both"/>
        <w:rPr>
          <w:rFonts w:ascii="Verdana" w:hAnsi="Verdana" w:cs="Arial"/>
          <w:sz w:val="20"/>
          <w:szCs w:val="20"/>
          <w:lang w:eastAsia="pt-BR"/>
        </w:rPr>
      </w:pPr>
      <w:r>
        <w:rPr>
          <w:rFonts w:cs="Arial" w:ascii="Verdana" w:hAnsi="Verdana"/>
          <w:sz w:val="20"/>
          <w:szCs w:val="20"/>
          <w:lang w:eastAsia="pt-BR"/>
        </w:rPr>
      </w:r>
    </w:p>
    <w:p>
      <w:pPr>
        <w:pStyle w:val="Normal"/>
        <w:spacing w:lineRule="auto" w:line="240"/>
        <w:jc w:val="righ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São Gabriel da Palha – ES, 18 de novembro de 2025</w:t>
      </w:r>
    </w:p>
    <w:p>
      <w:pPr>
        <w:pStyle w:val="Normal"/>
        <w:spacing w:lineRule="auto" w:line="24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Textbody"/>
        <w:spacing w:lineRule="auto" w:line="240"/>
        <w:jc w:val="center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______________________________________________________</w:t>
      </w:r>
    </w:p>
    <w:p>
      <w:pPr>
        <w:pStyle w:val="Textbody"/>
        <w:spacing w:lineRule="auto" w:line="240"/>
        <w:jc w:val="center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THALIS NUNES FELIX</w:t>
      </w:r>
    </w:p>
    <w:p>
      <w:pPr>
        <w:pStyle w:val="Textbody"/>
        <w:spacing w:lineRule="auto" w:line="240"/>
        <w:jc w:val="center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Engenheiro Civil – CREA-ES: 52084/D</w:t>
      </w:r>
    </w:p>
    <w:p>
      <w:pPr>
        <w:pStyle w:val="Standard"/>
        <w:spacing w:lineRule="auto" w:line="240" w:before="0" w:after="160"/>
        <w:jc w:val="center"/>
        <w:rPr>
          <w:rFonts w:ascii="Verdana" w:hAnsi="Verdana" w:eastAsia="Times New Roman" w:cs="Arial"/>
          <w:color w:val="000000"/>
          <w:sz w:val="20"/>
          <w:szCs w:val="20"/>
          <w:lang w:eastAsia="pt-BR"/>
        </w:rPr>
      </w:pPr>
      <w:r>
        <w:rPr>
          <w:rFonts w:eastAsia="Times New Roman" w:cs="Arial" w:ascii="Verdana" w:hAnsi="Verdana"/>
          <w:color w:val="000000"/>
          <w:sz w:val="20"/>
          <w:szCs w:val="20"/>
          <w:lang w:eastAsia="pt-BR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62" w:right="1162" w:gutter="0" w:header="595" w:top="1304" w:footer="1163" w:bottom="1699"/>
      <w:pgBorders w:display="allPages" w:offsetFrom="text">
        <w:bottom w:val="single" w:sz="2" w:space="1" w:color="000000"/>
      </w:pgBorders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Verdana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clear" w:pos="8504"/>
        <w:tab w:val="center" w:pos="4252" w:leader="none"/>
        <w:tab w:val="right" w:pos="8647" w:leader="none"/>
      </w:tabs>
      <w:ind w:hanging="0" w:right="-568"/>
      <w:jc w:val="center"/>
      <w:rPr/>
    </w:pPr>
    <w:r>
      <w:rPr>
        <w:rStyle w:val="PageNumber"/>
        <w:rFonts w:cs="Arial" w:ascii="Arial" w:hAnsi="Arial"/>
        <w:b/>
        <w:sz w:val="20"/>
      </w:rPr>
      <w:t>Prefeitura de São Gabriel da Palha | Secretaria Municipal de Obras e Desenvolvimento Urbano</w:t>
    </w:r>
    <w:r>
      <w:rPr>
        <w:rStyle w:val="PageNumber"/>
        <w:rFonts w:cs="Arial"/>
        <w:b/>
        <w:sz w:val="20"/>
      </w:rPr>
      <w:br/>
    </w:r>
    <w:r>
      <w:rPr>
        <w:rStyle w:val="PageNumber"/>
        <w:rFonts w:cs="Arial" w:ascii="Arial" w:hAnsi="Arial"/>
        <w:sz w:val="18"/>
        <w:szCs w:val="18"/>
      </w:rPr>
      <w:t>Praça Vicente Glazar, 159 | São Gabriel da Palha-ES | CEP: 29780 000</w:t>
    </w:r>
  </w:p>
  <w:p>
    <w:pPr>
      <w:pStyle w:val="Footer"/>
      <w:jc w:val="center"/>
      <w:rPr/>
    </w:pPr>
    <w:r>
      <w:rPr>
        <w:rStyle w:val="PageNumber"/>
        <w:rFonts w:cs="Arial" w:ascii="Arial" w:hAnsi="Arial"/>
        <w:sz w:val="18"/>
        <w:szCs w:val="18"/>
      </w:rPr>
      <w:t xml:space="preserve">Tel.: 27 3727 1366 | E-mail: </w:t>
    </w:r>
    <w:hyperlink r:id="rId1">
      <w:r>
        <w:rPr>
          <w:rStyle w:val="ListLabel28"/>
          <w:rFonts w:cs="Arial" w:ascii="Arial" w:hAnsi="Arial"/>
          <w:sz w:val="18"/>
          <w:szCs w:val="18"/>
        </w:rPr>
        <w:t>obras@saogabriel.es.gov.br</w:t>
      </w:r>
    </w:hyperlink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clear" w:pos="8504"/>
        <w:tab w:val="center" w:pos="4252" w:leader="none"/>
        <w:tab w:val="right" w:pos="8647" w:leader="none"/>
      </w:tabs>
      <w:ind w:hanging="0" w:right="-568"/>
      <w:jc w:val="center"/>
      <w:rPr/>
    </w:pPr>
    <w:r>
      <w:rPr>
        <w:rStyle w:val="PageNumber"/>
        <w:rFonts w:cs="Arial" w:ascii="Arial" w:hAnsi="Arial"/>
        <w:b/>
        <w:sz w:val="20"/>
      </w:rPr>
      <w:t>Prefeitura de São Gabriel da Palha | Secretaria Municipal de Obras e Desenvolvimento Urbano</w:t>
    </w:r>
    <w:r>
      <w:rPr>
        <w:rStyle w:val="PageNumber"/>
        <w:rFonts w:cs="Arial"/>
        <w:b/>
        <w:sz w:val="20"/>
      </w:rPr>
      <w:br/>
    </w:r>
    <w:r>
      <w:rPr>
        <w:rStyle w:val="PageNumber"/>
        <w:rFonts w:cs="Arial" w:ascii="Arial" w:hAnsi="Arial"/>
        <w:sz w:val="18"/>
        <w:szCs w:val="18"/>
      </w:rPr>
      <w:t>Praça Vicente Glazar, 159 | São Gabriel da Palha-ES | CEP: 29780 000</w:t>
    </w:r>
  </w:p>
  <w:p>
    <w:pPr>
      <w:pStyle w:val="Footer"/>
      <w:jc w:val="center"/>
      <w:rPr/>
    </w:pPr>
    <w:r>
      <w:rPr>
        <w:rStyle w:val="PageNumber"/>
        <w:rFonts w:cs="Arial" w:ascii="Arial" w:hAnsi="Arial"/>
        <w:sz w:val="18"/>
        <w:szCs w:val="18"/>
      </w:rPr>
      <w:t xml:space="preserve">Tel.: 27 3727 1366 | E-mail: </w:t>
    </w:r>
    <w:hyperlink r:id="rId1">
      <w:r>
        <w:rPr>
          <w:rStyle w:val="ListLabel28"/>
          <w:rFonts w:cs="Arial" w:ascii="Arial" w:hAnsi="Arial"/>
          <w:sz w:val="18"/>
          <w:szCs w:val="18"/>
        </w:rPr>
        <w:t>obras@saogabriel.es.gov.br</w:t>
      </w:r>
    </w:hyperlink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spacing w:lineRule="auto" w:line="240"/>
      <w:jc w:val="center"/>
      <w:rPr/>
    </w:pPr>
    <w:r>
      <w:drawing>
        <wp:anchor behindDoc="1" distT="0" distB="7620" distL="114300" distR="114300" simplePos="0" locked="0" layoutInCell="0" allowOverlap="1" relativeHeight="4">
          <wp:simplePos x="0" y="0"/>
          <wp:positionH relativeFrom="column">
            <wp:posOffset>-404495</wp:posOffset>
          </wp:positionH>
          <wp:positionV relativeFrom="paragraph">
            <wp:posOffset>-262255</wp:posOffset>
          </wp:positionV>
          <wp:extent cx="962025" cy="868045"/>
          <wp:effectExtent l="0" t="0" r="0" b="0"/>
          <wp:wrapSquare wrapText="bothSides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295" t="-328" r="-295" b="-328"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8680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Arial" w:ascii="Arial" w:hAnsi="Arial"/>
        <w:b/>
        <w:sz w:val="28"/>
        <w:szCs w:val="28"/>
      </w:rPr>
      <w:t>Prefeitura de São Gabriel da Palha</w:t>
    </w:r>
    <w:r>
      <w:rPr>
        <w:rFonts w:cs="Arial"/>
        <w:b/>
        <w:sz w:val="26"/>
        <w:szCs w:val="26"/>
      </w:rPr>
      <w:br/>
    </w:r>
    <w:r>
      <w:rPr>
        <w:rFonts w:cs="Arial" w:ascii="Arial" w:hAnsi="Arial"/>
        <w:sz w:val="20"/>
      </w:rPr>
      <w:t>ESTADO DO ESPÍRITO SANTO</w:t>
    </w:r>
    <w:r>
      <w:rPr>
        <w:rFonts w:cs="Arial"/>
        <w:b/>
        <w:sz w:val="28"/>
        <w:szCs w:val="28"/>
      </w:rPr>
      <w:br/>
    </w:r>
    <w:r>
      <w:rPr>
        <w:rFonts w:cs="Arial" w:ascii="Arial" w:hAnsi="Arial"/>
      </w:rPr>
      <w:t>Secretaria Municipal de Obras e Desenvolvimento Urbano</w:t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spacing w:lineRule="auto" w:line="240"/>
      <w:jc w:val="center"/>
      <w:rPr/>
    </w:pPr>
    <w:r>
      <w:drawing>
        <wp:anchor behindDoc="1" distT="0" distB="7620" distL="114300" distR="114300" simplePos="0" locked="0" layoutInCell="0" allowOverlap="1" relativeHeight="4">
          <wp:simplePos x="0" y="0"/>
          <wp:positionH relativeFrom="column">
            <wp:posOffset>-404495</wp:posOffset>
          </wp:positionH>
          <wp:positionV relativeFrom="paragraph">
            <wp:posOffset>-262255</wp:posOffset>
          </wp:positionV>
          <wp:extent cx="962025" cy="868045"/>
          <wp:effectExtent l="0" t="0" r="0" b="0"/>
          <wp:wrapSquare wrapText="bothSides"/>
          <wp:docPr id="2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295" t="-328" r="-295" b="-328"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8680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Arial" w:ascii="Arial" w:hAnsi="Arial"/>
        <w:b/>
        <w:sz w:val="28"/>
        <w:szCs w:val="28"/>
      </w:rPr>
      <w:t>Prefeitura de São Gabriel da Palha</w:t>
    </w:r>
    <w:r>
      <w:rPr>
        <w:rFonts w:cs="Arial"/>
        <w:b/>
        <w:sz w:val="26"/>
        <w:szCs w:val="26"/>
      </w:rPr>
      <w:br/>
    </w:r>
    <w:r>
      <w:rPr>
        <w:rFonts w:cs="Arial" w:ascii="Arial" w:hAnsi="Arial"/>
        <w:sz w:val="20"/>
      </w:rPr>
      <w:t>ESTADO DO ESPÍRITO SANTO</w:t>
    </w:r>
    <w:r>
      <w:rPr>
        <w:rFonts w:cs="Arial"/>
        <w:b/>
        <w:sz w:val="28"/>
        <w:szCs w:val="28"/>
      </w:rPr>
      <w:br/>
    </w:r>
    <w:r>
      <w:rPr>
        <w:rFonts w:cs="Arial" w:ascii="Arial" w:hAnsi="Arial"/>
      </w:rPr>
      <w:t>Secretaria Municipal de Obras e Desenvolvimento Urbano</w:t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b/>
        <w:szCs w:val="24"/>
        <w:rFonts w:ascii="Arial" w:hAnsi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4"/>
        <w:szCs w:val="24"/>
      </w:rPr>
    </w:lvl>
  </w:abstractNum>
  <w:abstractNum w:abstractNumId="2">
    <w:lvl w:ilvl="0">
      <w:start w:val="2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0"/>
  <w:defaultTabStop w:val="306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qFormat/>
    <w:rsid w:val="006c2e84"/>
    <w:rPr/>
  </w:style>
  <w:style w:type="character" w:styleId="RodapChar" w:customStyle="1">
    <w:name w:val="Rodapé Char"/>
    <w:basedOn w:val="DefaultParagraphFont"/>
    <w:uiPriority w:val="99"/>
    <w:qFormat/>
    <w:rsid w:val="006c2e84"/>
    <w:rPr/>
  </w:style>
  <w:style w:type="character" w:styleId="Marcas" w:customStyle="1">
    <w:name w:val="Marcas"/>
    <w:qFormat/>
    <w:rPr>
      <w:rFonts w:ascii="OpenSymbol" w:hAnsi="OpenSymbol" w:eastAsia="OpenSymbol" w:cs="OpenSymbol"/>
    </w:rPr>
  </w:style>
  <w:style w:type="character" w:styleId="Caracteresdenotaderodap" w:customStyle="1">
    <w:name w:val="Caracteres de nota de rodapé"/>
    <w:qFormat/>
    <w:rPr/>
  </w:style>
  <w:style w:type="character" w:styleId="FootnoteReference" w:customStyle="1">
    <w:name w:val="Footnote Reference"/>
    <w:rPr>
      <w:vertAlign w:val="superscript"/>
    </w:rPr>
  </w:style>
  <w:style w:type="character" w:styleId="Smbolosdenumerao" w:customStyle="1">
    <w:name w:val="Símbolos de numeração"/>
    <w:qFormat/>
    <w:rPr>
      <w:rFonts w:ascii="Arial" w:hAnsi="Arial"/>
      <w:sz w:val="24"/>
      <w:szCs w:val="24"/>
    </w:rPr>
  </w:style>
  <w:style w:type="character" w:styleId="PageNumber">
    <w:name w:val="Page Number"/>
    <w:basedOn w:val="DefaultParagraphFont"/>
    <w:qFormat/>
    <w:rsid w:val="0036311e"/>
    <w:rPr/>
  </w:style>
  <w:style w:type="character" w:styleId="Hyperlink" w:customStyle="1">
    <w:name w:val="Hyperlink"/>
    <w:rPr>
      <w:color w:val="000080"/>
      <w:u w:val="single"/>
    </w:rPr>
  </w:style>
  <w:style w:type="character" w:styleId="hgkelc" w:customStyle="1">
    <w:name w:val="hgkelc"/>
    <w:basedOn w:val="DefaultParagraphFont"/>
    <w:qFormat/>
    <w:rsid w:val="0021640e"/>
    <w:rPr/>
  </w:style>
  <w:style w:type="character" w:styleId="Marcadores">
    <w:name w:val="Marcadores"/>
    <w:qFormat/>
    <w:rPr>
      <w:rFonts w:ascii="OpenSymbol" w:hAnsi="OpenSymbol" w:eastAsia="OpenSymbol" w:cs="OpenSymbol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NormalWeb">
    <w:name w:val="Normal (Web)"/>
    <w:basedOn w:val="Normal"/>
    <w:uiPriority w:val="99"/>
    <w:unhideWhenUsed/>
    <w:qFormat/>
    <w:rsid w:val="006c2e84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Header">
    <w:name w:val="Header"/>
    <w:basedOn w:val="Normal"/>
    <w:link w:val="CabealhoChar"/>
    <w:uiPriority w:val="99"/>
    <w:unhideWhenUsed/>
    <w:rsid w:val="006c2e84"/>
    <w:pPr>
      <w:tabs>
        <w:tab w:val="clear" w:pos="306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RodapChar"/>
    <w:unhideWhenUsed/>
    <w:rsid w:val="006c2e84"/>
    <w:pPr>
      <w:tabs>
        <w:tab w:val="clear" w:pos="306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pPr>
      <w:suppressLineNumbers/>
      <w:ind w:hanging="339" w:left="339"/>
    </w:pPr>
    <w:rPr>
      <w:sz w:val="20"/>
      <w:szCs w:val="20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000000"/>
      <w:kern w:val="0"/>
      <w:sz w:val="24"/>
      <w:szCs w:val="24"/>
      <w:lang w:val="pt-BR" w:eastAsia="en-US" w:bidi="ar-SA"/>
    </w:rPr>
  </w:style>
  <w:style w:type="paragraph" w:styleId="ListParagraph">
    <w:name w:val="List Paragraph"/>
    <w:basedOn w:val="Normal"/>
    <w:uiPriority w:val="34"/>
    <w:qFormat/>
    <w:rsid w:val="004b5a05"/>
    <w:pPr>
      <w:spacing w:before="0" w:after="200"/>
      <w:ind w:hanging="0" w:left="720"/>
      <w:contextualSpacing/>
    </w:pPr>
    <w:rPr/>
  </w:style>
  <w:style w:type="paragraph" w:styleId="Standard" w:customStyle="1">
    <w:name w:val="Standard"/>
    <w:qFormat/>
    <w:rsid w:val="0036311e"/>
    <w:pPr>
      <w:widowControl/>
      <w:suppressAutoHyphens w:val="true"/>
      <w:bidi w:val="0"/>
      <w:spacing w:lineRule="auto" w:line="240" w:before="0" w:after="160"/>
      <w:jc w:val="left"/>
      <w:textAlignment w:val="baseline"/>
    </w:pPr>
    <w:rPr>
      <w:rFonts w:ascii="Calibri" w:hAnsi="Calibri" w:eastAsia="Calibri" w:cs="F" w:asciiTheme="minorHAns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Textbody" w:customStyle="1">
    <w:name w:val="Text body"/>
    <w:basedOn w:val="Standard"/>
    <w:qFormat/>
    <w:rsid w:val="0036311e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Linhahorizontal">
    <w:name w:val="Linha horizontal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mailto:obras@saogabriel.es.gov.br" TargetMode="External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hyperlink" Target="mailto:obras@saogabriel.es.gov.br" TargetMode="Externa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2339</TotalTime>
  <Application>LibreOffice/24.2.7.2$Windows_X86_64 LibreOffice_project/ee3885777aa7032db5a9b65deec9457448a91162</Application>
  <AppVersion>15.0000</AppVersion>
  <Pages>3</Pages>
  <Words>1392</Words>
  <Characters>8412</Characters>
  <CharactersWithSpaces>9795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2021-12-28T01:20:00Z</dcterms:created>
  <dc:creator>Gustavo Tavares Emerick</dc:creator>
  <dc:description/>
  <dc:language>pt-BR</dc:language>
  <cp:lastModifiedBy/>
  <cp:lastPrinted>2026-03-23T13:27:41Z</cp:lastPrinted>
  <dcterms:modified xsi:type="dcterms:W3CDTF">2026-04-27T15:56:44Z</dcterms:modified>
  <cp:revision>100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